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0C72" w14:textId="05746B28" w:rsidR="00FA793F" w:rsidRPr="00B8068C" w:rsidRDefault="00A0712F" w:rsidP="002F32F3">
      <w:pPr>
        <w:spacing w:after="0" w:line="240" w:lineRule="auto"/>
        <w:ind w:right="360"/>
        <w:rPr>
          <w:noProof/>
        </w:rPr>
      </w:pPr>
      <w:r>
        <w:rPr>
          <w:noProof/>
        </w:rPr>
        <w:drawing>
          <wp:anchor distT="0" distB="0" distL="114300" distR="114300" simplePos="0" relativeHeight="251657728" behindDoc="1" locked="0" layoutInCell="1" allowOverlap="1" wp14:anchorId="0D7A8DCD" wp14:editId="34F711D8">
            <wp:simplePos x="0" y="0"/>
            <wp:positionH relativeFrom="margin">
              <wp:posOffset>-122555</wp:posOffset>
            </wp:positionH>
            <wp:positionV relativeFrom="paragraph">
              <wp:posOffset>87630</wp:posOffset>
            </wp:positionV>
            <wp:extent cx="1983740" cy="906145"/>
            <wp:effectExtent l="0" t="0" r="0" b="0"/>
            <wp:wrapTight wrapText="bothSides">
              <wp:wrapPolygon edited="0">
                <wp:start x="5393" y="454"/>
                <wp:lineTo x="1867" y="4087"/>
                <wp:lineTo x="1037" y="5903"/>
                <wp:lineTo x="1037" y="12715"/>
                <wp:lineTo x="2697" y="15893"/>
                <wp:lineTo x="4771" y="16802"/>
                <wp:lineTo x="6638" y="20889"/>
                <wp:lineTo x="15972" y="20889"/>
                <wp:lineTo x="17216" y="19980"/>
                <wp:lineTo x="20535" y="16802"/>
                <wp:lineTo x="20328" y="15893"/>
                <wp:lineTo x="19498" y="8628"/>
                <wp:lineTo x="20535" y="5449"/>
                <wp:lineTo x="19291" y="4541"/>
                <wp:lineTo x="6430" y="454"/>
                <wp:lineTo x="5393" y="454"/>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740" cy="9061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81"/>
        <w:tblW w:w="0" w:type="auto"/>
        <w:tblLook w:val="0000" w:firstRow="0" w:lastRow="0" w:firstColumn="0" w:lastColumn="0" w:noHBand="0" w:noVBand="0"/>
      </w:tblPr>
      <w:tblGrid>
        <w:gridCol w:w="5190"/>
      </w:tblGrid>
      <w:tr w:rsidR="00FA793F" w:rsidRPr="003F5E5D" w14:paraId="2402FBF8" w14:textId="77777777" w:rsidTr="003F5E5D">
        <w:trPr>
          <w:trHeight w:val="690"/>
        </w:trPr>
        <w:tc>
          <w:tcPr>
            <w:tcW w:w="5190" w:type="dxa"/>
          </w:tcPr>
          <w:p w14:paraId="25DB2378" w14:textId="77777777" w:rsidR="00FA793F" w:rsidRPr="00453E1E" w:rsidRDefault="00FA793F" w:rsidP="003F5E5D">
            <w:pPr>
              <w:pStyle w:val="Default"/>
              <w:spacing w:line="288" w:lineRule="auto"/>
              <w:rPr>
                <w:rFonts w:ascii="Arial" w:eastAsia="ITC Franklin Gothic Std" w:hAnsi="Arial" w:cs="Arial"/>
                <w:color w:val="5E595D"/>
                <w:spacing w:val="24"/>
              </w:rPr>
            </w:pPr>
            <w:r w:rsidRPr="00453E1E">
              <w:rPr>
                <w:rFonts w:ascii="Arial" w:hAnsi="Arial" w:cs="Arial"/>
                <w:color w:val="5E595D"/>
                <w:spacing w:val="13"/>
              </w:rPr>
              <w:t>145 West Hanover Street, Trenton, NJ 08618</w:t>
            </w:r>
          </w:p>
          <w:p w14:paraId="62EC72F5" w14:textId="77777777" w:rsidR="00FA793F" w:rsidRPr="00612296" w:rsidRDefault="00FA793F" w:rsidP="003F5E5D">
            <w:pPr>
              <w:pStyle w:val="Default"/>
              <w:spacing w:line="288" w:lineRule="auto"/>
              <w:rPr>
                <w:rFonts w:ascii="Arial" w:eastAsia="ITC Franklin Gothic Std" w:hAnsi="Arial" w:cs="Arial"/>
                <w:color w:val="5E595D"/>
                <w:spacing w:val="-4"/>
                <w:sz w:val="24"/>
                <w:szCs w:val="24"/>
              </w:rPr>
            </w:pPr>
            <w:r w:rsidRPr="00453E1E">
              <w:rPr>
                <w:rFonts w:ascii="Arial" w:hAnsi="Arial" w:cs="Arial"/>
                <w:color w:val="5E595D"/>
                <w:spacing w:val="-4"/>
              </w:rPr>
              <w:t>609</w:t>
            </w:r>
            <w:r w:rsidRPr="00453E1E">
              <w:rPr>
                <w:rFonts w:ascii="Arial" w:hAnsi="Arial" w:cs="Arial"/>
                <w:color w:val="5E595D"/>
                <w:spacing w:val="-1"/>
              </w:rPr>
              <w:t>•</w:t>
            </w:r>
            <w:r w:rsidRPr="00453E1E">
              <w:rPr>
                <w:rFonts w:ascii="Arial" w:hAnsi="Arial" w:cs="Arial"/>
                <w:color w:val="5E595D"/>
                <w:spacing w:val="-4"/>
              </w:rPr>
              <w:t>421</w:t>
            </w:r>
            <w:r w:rsidRPr="00453E1E">
              <w:rPr>
                <w:rFonts w:ascii="Arial" w:hAnsi="Arial" w:cs="Arial"/>
                <w:color w:val="5E595D"/>
                <w:spacing w:val="-1"/>
              </w:rPr>
              <w:t>•</w:t>
            </w:r>
            <w:r w:rsidRPr="00453E1E">
              <w:rPr>
                <w:rFonts w:ascii="Arial" w:hAnsi="Arial" w:cs="Arial"/>
                <w:color w:val="5E595D"/>
                <w:spacing w:val="-4"/>
              </w:rPr>
              <w:t xml:space="preserve">0206        njaaw.org      </w:t>
            </w:r>
            <w:hyperlink r:id="rId7" w:history="1">
              <w:r w:rsidRPr="003F5E5D">
                <w:rPr>
                  <w:rStyle w:val="Hyperlink"/>
                  <w:rFonts w:ascii="Arial" w:hAnsi="Arial" w:cs="Arial"/>
                  <w:spacing w:val="-4"/>
                </w:rPr>
                <w:t>s</w:t>
              </w:r>
              <w:r w:rsidRPr="003F5E5D">
                <w:rPr>
                  <w:rStyle w:val="Hyperlink"/>
                  <w:rFonts w:ascii="Arial" w:hAnsi="Arial"/>
                  <w:spacing w:val="-4"/>
                </w:rPr>
                <w:t>brooks</w:t>
              </w:r>
              <w:r w:rsidRPr="003F5E5D">
                <w:rPr>
                  <w:rStyle w:val="Hyperlink"/>
                  <w:rFonts w:ascii="Arial" w:hAnsi="Arial" w:cs="Arial"/>
                  <w:spacing w:val="-4"/>
                </w:rPr>
                <w:t>@njaaw.org</w:t>
              </w:r>
            </w:hyperlink>
          </w:p>
        </w:tc>
      </w:tr>
    </w:tbl>
    <w:p w14:paraId="21892034" w14:textId="77777777" w:rsidR="00B8068C" w:rsidRPr="00B8068C" w:rsidRDefault="00B8068C" w:rsidP="00FA793F">
      <w:pPr>
        <w:spacing w:after="0" w:line="240" w:lineRule="auto"/>
        <w:ind w:left="450" w:right="360"/>
        <w:rPr>
          <w:noProof/>
        </w:rPr>
      </w:pPr>
    </w:p>
    <w:p w14:paraId="24A52CD4" w14:textId="77777777" w:rsidR="00FA793F" w:rsidRDefault="00FA793F" w:rsidP="008A192A">
      <w:pPr>
        <w:pBdr>
          <w:top w:val="nil"/>
          <w:left w:val="nil"/>
          <w:bottom w:val="nil"/>
          <w:right w:val="nil"/>
          <w:between w:val="nil"/>
        </w:pBdr>
        <w:tabs>
          <w:tab w:val="center" w:pos="4680"/>
          <w:tab w:val="right" w:pos="9360"/>
        </w:tabs>
        <w:spacing w:after="0" w:line="240" w:lineRule="auto"/>
        <w:rPr>
          <w:rFonts w:ascii="Cambria" w:eastAsia="Cambria" w:hAnsi="Cambria" w:cs="Cambria"/>
          <w:b/>
          <w:bCs/>
          <w:sz w:val="24"/>
          <w:szCs w:val="24"/>
        </w:rPr>
      </w:pPr>
    </w:p>
    <w:p w14:paraId="6FB594DC" w14:textId="77777777" w:rsidR="00FA793F" w:rsidRDefault="00FA793F" w:rsidP="008A192A">
      <w:pPr>
        <w:pBdr>
          <w:top w:val="nil"/>
          <w:left w:val="nil"/>
          <w:bottom w:val="nil"/>
          <w:right w:val="nil"/>
          <w:between w:val="nil"/>
        </w:pBdr>
        <w:tabs>
          <w:tab w:val="center" w:pos="4680"/>
          <w:tab w:val="right" w:pos="9360"/>
        </w:tabs>
        <w:spacing w:after="0" w:line="240" w:lineRule="auto"/>
        <w:rPr>
          <w:rFonts w:ascii="Cambria" w:eastAsia="Cambria" w:hAnsi="Cambria" w:cs="Cambria"/>
          <w:b/>
          <w:bCs/>
          <w:sz w:val="24"/>
          <w:szCs w:val="24"/>
        </w:rPr>
      </w:pPr>
    </w:p>
    <w:p w14:paraId="241C9F94" w14:textId="77777777" w:rsidR="00FA793F" w:rsidRDefault="00FA793F" w:rsidP="008A192A">
      <w:pPr>
        <w:pBdr>
          <w:top w:val="nil"/>
          <w:left w:val="nil"/>
          <w:bottom w:val="nil"/>
          <w:right w:val="nil"/>
          <w:between w:val="nil"/>
        </w:pBdr>
        <w:tabs>
          <w:tab w:val="center" w:pos="4680"/>
          <w:tab w:val="right" w:pos="9360"/>
        </w:tabs>
        <w:spacing w:after="0" w:line="240" w:lineRule="auto"/>
        <w:rPr>
          <w:rFonts w:ascii="Cambria" w:eastAsia="Cambria" w:hAnsi="Cambria" w:cs="Cambria"/>
          <w:b/>
          <w:bCs/>
          <w:sz w:val="24"/>
          <w:szCs w:val="24"/>
        </w:rPr>
      </w:pPr>
    </w:p>
    <w:p w14:paraId="7922BAB7" w14:textId="77777777" w:rsidR="002F32F3" w:rsidRDefault="002F32F3" w:rsidP="008A192A">
      <w:pPr>
        <w:pBdr>
          <w:top w:val="nil"/>
          <w:left w:val="nil"/>
          <w:bottom w:val="nil"/>
          <w:right w:val="nil"/>
          <w:between w:val="nil"/>
        </w:pBdr>
        <w:tabs>
          <w:tab w:val="center" w:pos="4680"/>
          <w:tab w:val="right" w:pos="9360"/>
        </w:tabs>
        <w:spacing w:after="0" w:line="240" w:lineRule="auto"/>
        <w:rPr>
          <w:rFonts w:ascii="Cambria" w:eastAsia="Cambria" w:hAnsi="Cambria" w:cs="Cambria"/>
          <w:b/>
          <w:bCs/>
          <w:sz w:val="24"/>
          <w:szCs w:val="24"/>
        </w:rPr>
      </w:pPr>
    </w:p>
    <w:p w14:paraId="44620966" w14:textId="77777777" w:rsidR="002F32F3" w:rsidRPr="004D5F79" w:rsidRDefault="002F32F3" w:rsidP="008A192A">
      <w:pPr>
        <w:pBdr>
          <w:top w:val="nil"/>
          <w:left w:val="nil"/>
          <w:bottom w:val="nil"/>
          <w:right w:val="nil"/>
          <w:between w:val="nil"/>
        </w:pBdr>
        <w:tabs>
          <w:tab w:val="center" w:pos="4680"/>
          <w:tab w:val="right" w:pos="9360"/>
        </w:tabs>
        <w:spacing w:after="0" w:line="240" w:lineRule="auto"/>
        <w:rPr>
          <w:rFonts w:ascii="Arial" w:eastAsia="Cambria" w:hAnsi="Arial" w:cs="Arial"/>
          <w:i/>
          <w:iCs/>
          <w:sz w:val="18"/>
          <w:szCs w:val="18"/>
        </w:rPr>
      </w:pPr>
      <w:r w:rsidRPr="004D5F79">
        <w:rPr>
          <w:rFonts w:ascii="Arial" w:eastAsia="Cambria" w:hAnsi="Arial" w:cs="Arial"/>
          <w:i/>
          <w:iCs/>
          <w:sz w:val="18"/>
          <w:szCs w:val="18"/>
        </w:rPr>
        <w:t>Formerly NJ Foundation for Aging</w:t>
      </w:r>
    </w:p>
    <w:p w14:paraId="000F5EE8" w14:textId="77777777" w:rsidR="002F32F3" w:rsidRDefault="002F32F3" w:rsidP="008A192A">
      <w:pPr>
        <w:pBdr>
          <w:top w:val="nil"/>
          <w:left w:val="nil"/>
          <w:bottom w:val="nil"/>
          <w:right w:val="nil"/>
          <w:between w:val="nil"/>
        </w:pBdr>
        <w:tabs>
          <w:tab w:val="center" w:pos="4680"/>
          <w:tab w:val="right" w:pos="9360"/>
        </w:tabs>
        <w:spacing w:after="0" w:line="240" w:lineRule="auto"/>
        <w:rPr>
          <w:rFonts w:ascii="Cambria" w:eastAsia="Cambria" w:hAnsi="Cambria" w:cs="Cambria"/>
          <w:b/>
          <w:bCs/>
          <w:sz w:val="24"/>
          <w:szCs w:val="24"/>
        </w:rPr>
      </w:pPr>
    </w:p>
    <w:p w14:paraId="2BB52D47" w14:textId="79146AF9" w:rsidR="00C2396F" w:rsidRPr="009363DB" w:rsidRDefault="00C2396F" w:rsidP="007F5E5D">
      <w:pPr>
        <w:spacing w:after="0" w:line="240" w:lineRule="auto"/>
        <w:rPr>
          <w:rFonts w:ascii="Times New Roman" w:hAnsi="Times New Roman"/>
          <w:sz w:val="24"/>
          <w:szCs w:val="24"/>
        </w:rPr>
      </w:pPr>
      <w:r w:rsidRPr="009363DB">
        <w:rPr>
          <w:rFonts w:ascii="Times New Roman" w:hAnsi="Times New Roman"/>
          <w:sz w:val="24"/>
          <w:szCs w:val="24"/>
        </w:rPr>
        <w:t>CONTACT: Sue Brooks, 609-421-0206</w:t>
      </w:r>
    </w:p>
    <w:p w14:paraId="1013B641" w14:textId="77777777" w:rsidR="00F8171F" w:rsidRDefault="00F8171F" w:rsidP="00F8171F">
      <w:pPr>
        <w:spacing w:after="0" w:line="240" w:lineRule="auto"/>
        <w:jc w:val="center"/>
        <w:rPr>
          <w:rFonts w:ascii="Times New Roman" w:hAnsi="Times New Roman"/>
          <w:b/>
          <w:bCs/>
          <w:sz w:val="32"/>
          <w:szCs w:val="32"/>
        </w:rPr>
      </w:pPr>
    </w:p>
    <w:p w14:paraId="66E32F2E" w14:textId="4CA38B62" w:rsidR="00C2396F" w:rsidRDefault="00F8171F" w:rsidP="0083658F">
      <w:pPr>
        <w:spacing w:after="0" w:line="240" w:lineRule="auto"/>
        <w:jc w:val="center"/>
        <w:rPr>
          <w:rFonts w:ascii="Times New Roman" w:hAnsi="Times New Roman"/>
          <w:b/>
          <w:bCs/>
          <w:sz w:val="32"/>
          <w:szCs w:val="32"/>
        </w:rPr>
      </w:pPr>
      <w:r>
        <w:rPr>
          <w:rFonts w:ascii="Times New Roman" w:hAnsi="Times New Roman"/>
          <w:b/>
          <w:bCs/>
          <w:sz w:val="32"/>
          <w:szCs w:val="32"/>
        </w:rPr>
        <w:t xml:space="preserve">Bio of </w:t>
      </w:r>
      <w:r w:rsidR="00C2396F" w:rsidRPr="009363DB">
        <w:rPr>
          <w:rFonts w:ascii="Times New Roman" w:hAnsi="Times New Roman"/>
          <w:b/>
          <w:bCs/>
          <w:sz w:val="32"/>
          <w:szCs w:val="32"/>
        </w:rPr>
        <w:t>Cathy Rowe, DrPH</w:t>
      </w:r>
      <w:r w:rsidR="009363DB">
        <w:rPr>
          <w:rFonts w:ascii="Times New Roman" w:hAnsi="Times New Roman"/>
          <w:b/>
          <w:bCs/>
          <w:sz w:val="32"/>
          <w:szCs w:val="32"/>
        </w:rPr>
        <w:t>,</w:t>
      </w:r>
      <w:r w:rsidR="00C2396F" w:rsidRPr="009363DB">
        <w:rPr>
          <w:rFonts w:ascii="Times New Roman" w:hAnsi="Times New Roman"/>
          <w:b/>
          <w:bCs/>
          <w:sz w:val="32"/>
          <w:szCs w:val="32"/>
        </w:rPr>
        <w:t xml:space="preserve"> Executive Director</w:t>
      </w:r>
    </w:p>
    <w:p w14:paraId="035379AA" w14:textId="77777777" w:rsidR="00F8171F" w:rsidRPr="009363DB" w:rsidRDefault="00F8171F" w:rsidP="00F8171F">
      <w:pPr>
        <w:spacing w:after="0" w:line="240" w:lineRule="auto"/>
        <w:jc w:val="center"/>
        <w:rPr>
          <w:rFonts w:ascii="Times New Roman" w:hAnsi="Times New Roman"/>
          <w:b/>
          <w:bCs/>
          <w:sz w:val="32"/>
          <w:szCs w:val="32"/>
        </w:rPr>
      </w:pPr>
    </w:p>
    <w:p w14:paraId="23CDC32D" w14:textId="2BCEBB18" w:rsidR="00CE3135" w:rsidRPr="009363DB" w:rsidRDefault="0083658F" w:rsidP="00C2396F">
      <w:pPr>
        <w:rPr>
          <w:rFonts w:ascii="Times New Roman" w:hAnsi="Times New Roman"/>
          <w:sz w:val="24"/>
          <w:szCs w:val="24"/>
        </w:rPr>
      </w:pPr>
      <w:r w:rsidRPr="00F317B4">
        <w:rPr>
          <w:rFonts w:ascii="Times New Roman" w:hAnsi="Times New Roman"/>
          <w:b/>
          <w:bCs/>
          <w:noProof/>
          <w:sz w:val="24"/>
          <w:szCs w:val="24"/>
        </w:rPr>
        <w:drawing>
          <wp:anchor distT="0" distB="0" distL="114300" distR="114300" simplePos="0" relativeHeight="251659776" behindDoc="1" locked="0" layoutInCell="1" allowOverlap="1" wp14:anchorId="0C892E08" wp14:editId="01D56D53">
            <wp:simplePos x="0" y="0"/>
            <wp:positionH relativeFrom="column">
              <wp:posOffset>7640</wp:posOffset>
            </wp:positionH>
            <wp:positionV relativeFrom="paragraph">
              <wp:posOffset>13605</wp:posOffset>
            </wp:positionV>
            <wp:extent cx="1895475" cy="2607945"/>
            <wp:effectExtent l="0" t="0" r="9525" b="1905"/>
            <wp:wrapTight wrapText="bothSides">
              <wp:wrapPolygon edited="0">
                <wp:start x="0" y="0"/>
                <wp:lineTo x="0" y="21458"/>
                <wp:lineTo x="21491" y="21458"/>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1F" w:rsidRPr="009363DB">
        <w:rPr>
          <w:rFonts w:ascii="Times New Roman" w:hAnsi="Times New Roman"/>
          <w:sz w:val="24"/>
          <w:szCs w:val="24"/>
        </w:rPr>
        <w:t>Cathy Rowe, DrPH</w:t>
      </w:r>
      <w:r w:rsidR="00F8171F" w:rsidRPr="00F8171F">
        <w:rPr>
          <w:rFonts w:ascii="Times New Roman" w:hAnsi="Times New Roman"/>
          <w:noProof/>
          <w:sz w:val="24"/>
          <w:szCs w:val="24"/>
        </w:rPr>
        <w:t>, was appointed Executive Director of</w:t>
      </w:r>
      <w:r w:rsidR="00F8171F">
        <w:rPr>
          <w:rFonts w:ascii="Times New Roman" w:hAnsi="Times New Roman"/>
          <w:b/>
          <w:bCs/>
          <w:noProof/>
          <w:sz w:val="24"/>
          <w:szCs w:val="24"/>
        </w:rPr>
        <w:t xml:space="preserve"> </w:t>
      </w:r>
      <w:r w:rsidR="00C2396F" w:rsidRPr="009363DB">
        <w:rPr>
          <w:rFonts w:ascii="Times New Roman" w:hAnsi="Times New Roman"/>
          <w:sz w:val="24"/>
          <w:szCs w:val="24"/>
        </w:rPr>
        <w:t>New Jersey Advocates for Aging Well (NJAAW), a leader in optimizing the aging experience for New Jersey residents</w:t>
      </w:r>
      <w:r w:rsidR="00CE3135" w:rsidRPr="009363DB">
        <w:rPr>
          <w:rFonts w:ascii="Times New Roman" w:hAnsi="Times New Roman"/>
          <w:sz w:val="24"/>
          <w:szCs w:val="24"/>
        </w:rPr>
        <w:t xml:space="preserve"> since 19</w:t>
      </w:r>
      <w:r w:rsidR="0031407F">
        <w:rPr>
          <w:rFonts w:ascii="Times New Roman" w:hAnsi="Times New Roman"/>
          <w:sz w:val="24"/>
          <w:szCs w:val="24"/>
        </w:rPr>
        <w:t>9</w:t>
      </w:r>
      <w:r w:rsidR="00CE3135" w:rsidRPr="009363DB">
        <w:rPr>
          <w:rFonts w:ascii="Times New Roman" w:hAnsi="Times New Roman"/>
          <w:sz w:val="24"/>
          <w:szCs w:val="24"/>
        </w:rPr>
        <w:t>8</w:t>
      </w:r>
      <w:r w:rsidR="00C2396F" w:rsidRPr="009363DB">
        <w:rPr>
          <w:rFonts w:ascii="Times New Roman" w:hAnsi="Times New Roman"/>
          <w:sz w:val="24"/>
          <w:szCs w:val="24"/>
        </w:rPr>
        <w:t xml:space="preserve">, </w:t>
      </w:r>
      <w:r w:rsidR="00F8171F">
        <w:rPr>
          <w:rFonts w:ascii="Times New Roman" w:hAnsi="Times New Roman"/>
          <w:sz w:val="24"/>
          <w:szCs w:val="24"/>
        </w:rPr>
        <w:t>on May 3, 2021.</w:t>
      </w:r>
      <w:r w:rsidR="00CE3135" w:rsidRPr="009363DB">
        <w:rPr>
          <w:rFonts w:ascii="Times New Roman" w:hAnsi="Times New Roman"/>
          <w:sz w:val="24"/>
          <w:szCs w:val="24"/>
        </w:rPr>
        <w:t xml:space="preserve"> </w:t>
      </w:r>
    </w:p>
    <w:p w14:paraId="1A89D761" w14:textId="7FCB1B6B" w:rsidR="00C2396F" w:rsidRPr="009363DB" w:rsidRDefault="00C2396F" w:rsidP="00C2396F">
      <w:pPr>
        <w:rPr>
          <w:rFonts w:ascii="Times New Roman" w:hAnsi="Times New Roman"/>
          <w:sz w:val="24"/>
          <w:szCs w:val="24"/>
        </w:rPr>
      </w:pPr>
      <w:r w:rsidRPr="009363DB">
        <w:rPr>
          <w:rFonts w:ascii="Times New Roman" w:hAnsi="Times New Roman"/>
          <w:sz w:val="24"/>
          <w:szCs w:val="24"/>
        </w:rPr>
        <w:t xml:space="preserve">Most recently, </w:t>
      </w:r>
      <w:r w:rsidR="00A0712F" w:rsidRPr="009363DB">
        <w:rPr>
          <w:rFonts w:ascii="Times New Roman" w:hAnsi="Times New Roman"/>
          <w:sz w:val="24"/>
          <w:szCs w:val="24"/>
        </w:rPr>
        <w:t>Dr. Rowe</w:t>
      </w:r>
      <w:r w:rsidRPr="009363DB">
        <w:rPr>
          <w:rFonts w:ascii="Times New Roman" w:hAnsi="Times New Roman"/>
          <w:sz w:val="24"/>
          <w:szCs w:val="24"/>
        </w:rPr>
        <w:t xml:space="preserve"> served as Coordinator for SOMA</w:t>
      </w:r>
      <w:r w:rsidR="00A0712F" w:rsidRPr="009363DB">
        <w:rPr>
          <w:rFonts w:ascii="Times New Roman" w:hAnsi="Times New Roman"/>
          <w:sz w:val="24"/>
          <w:szCs w:val="24"/>
        </w:rPr>
        <w:t xml:space="preserve"> (South Orange/Maplewood)</w:t>
      </w:r>
      <w:r w:rsidRPr="009363DB">
        <w:rPr>
          <w:rFonts w:ascii="Times New Roman" w:hAnsi="Times New Roman"/>
          <w:sz w:val="24"/>
          <w:szCs w:val="24"/>
        </w:rPr>
        <w:t>: Two Towns for All Ages</w:t>
      </w:r>
      <w:r w:rsidR="00A0712F" w:rsidRPr="009363DB">
        <w:rPr>
          <w:rFonts w:ascii="Times New Roman" w:hAnsi="Times New Roman"/>
          <w:sz w:val="24"/>
          <w:szCs w:val="24"/>
        </w:rPr>
        <w:t>, a grant-funded healthy aging initiative in a community with more than 6,000 residents over 60</w:t>
      </w:r>
      <w:r w:rsidRPr="009363DB">
        <w:rPr>
          <w:rFonts w:ascii="Times New Roman" w:hAnsi="Times New Roman"/>
          <w:sz w:val="24"/>
          <w:szCs w:val="24"/>
        </w:rPr>
        <w:t>.</w:t>
      </w:r>
      <w:r w:rsidR="00F8171F">
        <w:rPr>
          <w:rFonts w:ascii="Times New Roman" w:hAnsi="Times New Roman"/>
          <w:sz w:val="24"/>
          <w:szCs w:val="24"/>
        </w:rPr>
        <w:t xml:space="preserve"> </w:t>
      </w:r>
      <w:r w:rsidRPr="009363DB">
        <w:rPr>
          <w:rFonts w:ascii="Times New Roman" w:hAnsi="Times New Roman"/>
          <w:sz w:val="24"/>
          <w:szCs w:val="24"/>
        </w:rPr>
        <w:t>This cutting-edge collaboration, based on the World Health Organization’s Domains of Healthy Aging, focuses on developing programs to address economic and infrastructure needs for an age-friendly community.</w:t>
      </w:r>
    </w:p>
    <w:p w14:paraId="3D4DE1E7" w14:textId="7875BD44" w:rsidR="001F4EE6" w:rsidRPr="009363DB" w:rsidRDefault="00CE3135" w:rsidP="00C2396F">
      <w:pPr>
        <w:rPr>
          <w:rFonts w:ascii="Times New Roman" w:hAnsi="Times New Roman"/>
          <w:sz w:val="24"/>
          <w:szCs w:val="24"/>
        </w:rPr>
      </w:pPr>
      <w:r w:rsidRPr="7D3D96E1">
        <w:rPr>
          <w:rFonts w:ascii="Times New Roman" w:hAnsi="Times New Roman"/>
          <w:sz w:val="24"/>
          <w:szCs w:val="24"/>
        </w:rPr>
        <w:t>Dr. Rowe has spoken extensively on aging issues at conferences and symposia</w:t>
      </w:r>
      <w:r w:rsidR="154C06BA" w:rsidRPr="7D3D96E1">
        <w:rPr>
          <w:rFonts w:ascii="Times New Roman" w:hAnsi="Times New Roman"/>
          <w:sz w:val="24"/>
          <w:szCs w:val="24"/>
        </w:rPr>
        <w:t xml:space="preserve">.  </w:t>
      </w:r>
      <w:r w:rsidR="00A6275F">
        <w:rPr>
          <w:rFonts w:ascii="Times New Roman" w:hAnsi="Times New Roman"/>
          <w:sz w:val="24"/>
          <w:szCs w:val="24"/>
        </w:rPr>
        <w:t>In 2020, t</w:t>
      </w:r>
      <w:r w:rsidR="001F4EE6" w:rsidRPr="009363DB">
        <w:rPr>
          <w:rFonts w:ascii="Times New Roman" w:hAnsi="Times New Roman"/>
          <w:sz w:val="24"/>
          <w:szCs w:val="24"/>
        </w:rPr>
        <w:t>he National Association of Area Agencies on Aging presented her with a “Best Practices for Socially Engaging Older Adults Award” for the “Repair Café” she established – the first of its kind in NJ. An i</w:t>
      </w:r>
      <w:r w:rsidR="001F4EE6" w:rsidRPr="009363DB">
        <w:rPr>
          <w:rFonts w:ascii="Times New Roman" w:hAnsi="Times New Roman"/>
          <w:color w:val="0A0A0A"/>
          <w:sz w:val="24"/>
          <w:szCs w:val="24"/>
          <w:shd w:val="clear" w:color="auto" w:fill="FEFEFE"/>
        </w:rPr>
        <w:t xml:space="preserve">nter-generational event, the cafe brings together people of all ages and levels of expertise to repair and save treasured items. </w:t>
      </w:r>
      <w:r w:rsidRPr="7D3D96E1">
        <w:rPr>
          <w:rFonts w:ascii="Times New Roman" w:hAnsi="Times New Roman"/>
          <w:sz w:val="24"/>
          <w:szCs w:val="24"/>
        </w:rPr>
        <w:t xml:space="preserve">Dr. Rowe earned her DrPH in Health Policy and Management from Columbia University, where she received a Fellowship in Public Policy. </w:t>
      </w:r>
      <w:r w:rsidR="001F4EE6" w:rsidRPr="7D3D96E1">
        <w:rPr>
          <w:rFonts w:ascii="Times New Roman" w:hAnsi="Times New Roman"/>
          <w:sz w:val="24"/>
          <w:szCs w:val="24"/>
        </w:rPr>
        <w:t>Her</w:t>
      </w:r>
      <w:r w:rsidR="00C2396F" w:rsidRPr="7D3D96E1">
        <w:rPr>
          <w:rFonts w:ascii="Times New Roman" w:hAnsi="Times New Roman"/>
          <w:sz w:val="24"/>
          <w:szCs w:val="24"/>
        </w:rPr>
        <w:t xml:space="preserve"> BA in Economics</w:t>
      </w:r>
      <w:r w:rsidR="001F4EE6" w:rsidRPr="7D3D96E1">
        <w:rPr>
          <w:rFonts w:ascii="Times New Roman" w:hAnsi="Times New Roman"/>
          <w:sz w:val="24"/>
          <w:szCs w:val="24"/>
        </w:rPr>
        <w:t xml:space="preserve"> is</w:t>
      </w:r>
      <w:r w:rsidR="00C2396F" w:rsidRPr="7D3D96E1">
        <w:rPr>
          <w:rFonts w:ascii="Times New Roman" w:hAnsi="Times New Roman"/>
          <w:sz w:val="24"/>
          <w:szCs w:val="24"/>
        </w:rPr>
        <w:t xml:space="preserve"> from Bates College</w:t>
      </w:r>
      <w:r w:rsidRPr="7D3D96E1">
        <w:rPr>
          <w:rFonts w:ascii="Times New Roman" w:hAnsi="Times New Roman"/>
          <w:sz w:val="24"/>
          <w:szCs w:val="24"/>
        </w:rPr>
        <w:t>.</w:t>
      </w:r>
    </w:p>
    <w:p w14:paraId="6B812DF1" w14:textId="44B61F16" w:rsidR="00F8171F" w:rsidRDefault="00F8171F" w:rsidP="00C2396F">
      <w:pPr>
        <w:rPr>
          <w:rFonts w:ascii="Times New Roman" w:hAnsi="Times New Roman"/>
          <w:sz w:val="24"/>
          <w:szCs w:val="24"/>
        </w:rPr>
      </w:pPr>
      <w:r>
        <w:rPr>
          <w:rFonts w:ascii="Times New Roman" w:hAnsi="Times New Roman"/>
          <w:sz w:val="24"/>
          <w:szCs w:val="24"/>
        </w:rPr>
        <w:t xml:space="preserve">Dr. Rowe </w:t>
      </w:r>
      <w:r w:rsidR="0083658F">
        <w:rPr>
          <w:rFonts w:ascii="Times New Roman" w:hAnsi="Times New Roman"/>
          <w:sz w:val="24"/>
          <w:szCs w:val="24"/>
        </w:rPr>
        <w:t>can be reached at crowe@njaaw.org.</w:t>
      </w:r>
    </w:p>
    <w:p w14:paraId="7F2C23B0" w14:textId="79601AF7" w:rsidR="00A6275F" w:rsidRPr="00F8171F" w:rsidRDefault="00A6275F" w:rsidP="00A6275F">
      <w:pPr>
        <w:jc w:val="center"/>
        <w:rPr>
          <w:rFonts w:ascii="Times New Roman" w:hAnsi="Times New Roman"/>
          <w:sz w:val="24"/>
          <w:szCs w:val="24"/>
        </w:rPr>
      </w:pPr>
      <w:r w:rsidRPr="00F8171F">
        <w:rPr>
          <w:rFonts w:ascii="Times New Roman" w:hAnsi="Times New Roman"/>
          <w:sz w:val="24"/>
          <w:szCs w:val="24"/>
        </w:rPr>
        <w:t># # #</w:t>
      </w:r>
    </w:p>
    <w:p w14:paraId="452FD86A" w14:textId="72D5C742" w:rsidR="009363DB" w:rsidRPr="0083658F" w:rsidRDefault="009363DB" w:rsidP="005A5465">
      <w:pPr>
        <w:shd w:val="clear" w:color="auto" w:fill="FFFFFF"/>
        <w:spacing w:after="0" w:line="240" w:lineRule="auto"/>
        <w:rPr>
          <w:rFonts w:ascii="Times New Roman" w:hAnsi="Times New Roman"/>
          <w:color w:val="000000"/>
        </w:rPr>
      </w:pPr>
      <w:r w:rsidRPr="0083658F">
        <w:rPr>
          <w:rFonts w:ascii="Times New Roman" w:hAnsi="Times New Roman"/>
          <w:i/>
          <w:iCs/>
          <w:color w:val="000000"/>
        </w:rPr>
        <w:t xml:space="preserve">NJ Advocates for Aging Well (NJAAW, </w:t>
      </w:r>
      <w:hyperlink r:id="rId9" w:tgtFrame="_blank" w:history="1">
        <w:r w:rsidRPr="0083658F">
          <w:rPr>
            <w:rStyle w:val="Hyperlink"/>
            <w:rFonts w:ascii="Times New Roman" w:hAnsi="Times New Roman"/>
            <w:i/>
            <w:iCs/>
          </w:rPr>
          <w:t>njaaw.org</w:t>
        </w:r>
      </w:hyperlink>
      <w:r w:rsidRPr="0083658F">
        <w:rPr>
          <w:rFonts w:ascii="Times New Roman" w:hAnsi="Times New Roman"/>
          <w:i/>
          <w:iCs/>
          <w:color w:val="000000"/>
        </w:rPr>
        <w:t xml:space="preserve">), formerly NJ Foundation for Aging, has been </w:t>
      </w:r>
      <w:r w:rsidR="00F8171F" w:rsidRPr="0083658F">
        <w:rPr>
          <w:rFonts w:ascii="Times New Roman" w:hAnsi="Times New Roman"/>
          <w:i/>
          <w:iCs/>
          <w:color w:val="000000"/>
        </w:rPr>
        <w:t>at</w:t>
      </w:r>
      <w:r w:rsidRPr="0083658F">
        <w:rPr>
          <w:rFonts w:ascii="Times New Roman" w:hAnsi="Times New Roman"/>
          <w:i/>
          <w:iCs/>
          <w:color w:val="000000"/>
        </w:rPr>
        <w:t xml:space="preserve"> the forefront of revolutionizing the aging experience since 1998. It is the only statewide nonprofit focused solely on providing leadership in public policy and education to enable older adults to live with independence and dignity in their communities. NJAAW’s social action issues include senior housing and hunger, elder economic security, older </w:t>
      </w:r>
      <w:proofErr w:type="gramStart"/>
      <w:r w:rsidRPr="0083658F">
        <w:rPr>
          <w:rFonts w:ascii="Times New Roman" w:hAnsi="Times New Roman"/>
          <w:i/>
          <w:iCs/>
          <w:color w:val="000000"/>
        </w:rPr>
        <w:t>workers</w:t>
      </w:r>
      <w:proofErr w:type="gramEnd"/>
      <w:r w:rsidRPr="0083658F">
        <w:rPr>
          <w:rFonts w:ascii="Times New Roman" w:hAnsi="Times New Roman"/>
          <w:i/>
          <w:iCs/>
          <w:color w:val="000000"/>
        </w:rPr>
        <w:t xml:space="preserve"> and transportation. The award-winning Aging Insights, a monthly topical TV program produced by NJAAW, connects caregivers, seniors and their families to community-based services and resources. The show is available on NJAAW’s YouTube channel at </w:t>
      </w:r>
      <w:hyperlink r:id="rId10" w:tgtFrame="_blank" w:history="1">
        <w:r w:rsidRPr="0083658F">
          <w:rPr>
            <w:rStyle w:val="Hyperlink"/>
            <w:rFonts w:ascii="Times New Roman" w:hAnsi="Times New Roman"/>
            <w:i/>
            <w:iCs/>
          </w:rPr>
          <w:t>youtube.com/c/</w:t>
        </w:r>
        <w:proofErr w:type="spellStart"/>
        <w:r w:rsidRPr="0083658F">
          <w:rPr>
            <w:rStyle w:val="Hyperlink"/>
            <w:rFonts w:ascii="Times New Roman" w:hAnsi="Times New Roman"/>
            <w:i/>
            <w:iCs/>
          </w:rPr>
          <w:t>njadvocatesforagingwell</w:t>
        </w:r>
        <w:proofErr w:type="spellEnd"/>
      </w:hyperlink>
      <w:r w:rsidRPr="0083658F">
        <w:rPr>
          <w:rFonts w:ascii="Times New Roman" w:hAnsi="Times New Roman"/>
          <w:i/>
          <w:iCs/>
          <w:color w:val="000000"/>
        </w:rPr>
        <w:t xml:space="preserve">, at </w:t>
      </w:r>
      <w:hyperlink r:id="rId11" w:tgtFrame="_blank" w:history="1">
        <w:r w:rsidRPr="0083658F">
          <w:rPr>
            <w:rStyle w:val="Hyperlink"/>
            <w:rFonts w:ascii="Times New Roman" w:hAnsi="Times New Roman"/>
            <w:i/>
            <w:iCs/>
          </w:rPr>
          <w:t>njaaw.org</w:t>
        </w:r>
      </w:hyperlink>
      <w:r w:rsidRPr="0083658F">
        <w:rPr>
          <w:rFonts w:ascii="Times New Roman" w:hAnsi="Times New Roman"/>
          <w:i/>
          <w:iCs/>
          <w:color w:val="000000"/>
        </w:rPr>
        <w:t xml:space="preserve"> and more than 70 public-access stations across NJ (check local listings for channels and times). NJAAW also presents educational forums and an Annual Conference offering development opportunities and best practices for professionals entrusted with caring for </w:t>
      </w:r>
      <w:r w:rsidR="002E2965">
        <w:rPr>
          <w:rFonts w:ascii="Times New Roman" w:hAnsi="Times New Roman"/>
          <w:i/>
          <w:iCs/>
          <w:color w:val="000000"/>
        </w:rPr>
        <w:t>older adults</w:t>
      </w:r>
      <w:r w:rsidRPr="0083658F">
        <w:rPr>
          <w:rFonts w:ascii="Times New Roman" w:hAnsi="Times New Roman"/>
          <w:i/>
          <w:iCs/>
          <w:color w:val="000000"/>
        </w:rPr>
        <w:t>.</w:t>
      </w:r>
      <w:r w:rsidR="002E2965">
        <w:rPr>
          <w:rFonts w:ascii="Times New Roman" w:hAnsi="Times New Roman"/>
          <w:i/>
          <w:iCs/>
          <w:color w:val="000000"/>
        </w:rPr>
        <w:t xml:space="preserve"> “Rebounding and Rebuilding,” the 23</w:t>
      </w:r>
      <w:r w:rsidR="002E2965" w:rsidRPr="002E2965">
        <w:rPr>
          <w:rFonts w:ascii="Times New Roman" w:hAnsi="Times New Roman"/>
          <w:i/>
          <w:iCs/>
          <w:color w:val="000000"/>
          <w:vertAlign w:val="superscript"/>
        </w:rPr>
        <w:t>rd</w:t>
      </w:r>
      <w:r w:rsidR="002E2965">
        <w:rPr>
          <w:rFonts w:ascii="Times New Roman" w:hAnsi="Times New Roman"/>
          <w:i/>
          <w:iCs/>
          <w:color w:val="000000"/>
        </w:rPr>
        <w:t xml:space="preserve"> conference, takes place online June 3 and 4, 2021. </w:t>
      </w:r>
    </w:p>
    <w:p w14:paraId="68B89D61" w14:textId="77777777" w:rsidR="00F678DF" w:rsidRPr="0083658F" w:rsidRDefault="00F678DF" w:rsidP="00EA13C6">
      <w:pPr>
        <w:spacing w:after="0" w:line="240" w:lineRule="auto"/>
        <w:rPr>
          <w:rFonts w:ascii="Times New Roman" w:hAnsi="Times New Roman"/>
        </w:rPr>
      </w:pPr>
    </w:p>
    <w:sectPr w:rsidR="00F678DF" w:rsidRPr="0083658F" w:rsidSect="00112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TC Franklin Gothic St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083A"/>
    <w:multiLevelType w:val="hybridMultilevel"/>
    <w:tmpl w:val="8F6CA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553139"/>
    <w:multiLevelType w:val="hybridMultilevel"/>
    <w:tmpl w:val="3E1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6F"/>
    <w:rsid w:val="000412F9"/>
    <w:rsid w:val="000C5046"/>
    <w:rsid w:val="000D7AF6"/>
    <w:rsid w:val="000E6944"/>
    <w:rsid w:val="00112D29"/>
    <w:rsid w:val="0011499D"/>
    <w:rsid w:val="0012361B"/>
    <w:rsid w:val="00150891"/>
    <w:rsid w:val="001564D4"/>
    <w:rsid w:val="00175869"/>
    <w:rsid w:val="001D4322"/>
    <w:rsid w:val="001E011B"/>
    <w:rsid w:val="001E1EB8"/>
    <w:rsid w:val="001F029E"/>
    <w:rsid w:val="001F4EE6"/>
    <w:rsid w:val="0022269E"/>
    <w:rsid w:val="0023715F"/>
    <w:rsid w:val="0024654B"/>
    <w:rsid w:val="00253C5A"/>
    <w:rsid w:val="002614CF"/>
    <w:rsid w:val="002A012B"/>
    <w:rsid w:val="002B44AC"/>
    <w:rsid w:val="002C37B9"/>
    <w:rsid w:val="002D0555"/>
    <w:rsid w:val="002E2965"/>
    <w:rsid w:val="002F32F3"/>
    <w:rsid w:val="002F7079"/>
    <w:rsid w:val="0030117C"/>
    <w:rsid w:val="0031407F"/>
    <w:rsid w:val="0031661C"/>
    <w:rsid w:val="0032354B"/>
    <w:rsid w:val="00331423"/>
    <w:rsid w:val="00344F8B"/>
    <w:rsid w:val="003818E6"/>
    <w:rsid w:val="003B7617"/>
    <w:rsid w:val="003D5E73"/>
    <w:rsid w:val="003F5E5D"/>
    <w:rsid w:val="0040431D"/>
    <w:rsid w:val="00410BB5"/>
    <w:rsid w:val="00423AA8"/>
    <w:rsid w:val="00427E49"/>
    <w:rsid w:val="00433672"/>
    <w:rsid w:val="0049390D"/>
    <w:rsid w:val="004D13C8"/>
    <w:rsid w:val="004D5F79"/>
    <w:rsid w:val="004E164F"/>
    <w:rsid w:val="004E1A60"/>
    <w:rsid w:val="00512F75"/>
    <w:rsid w:val="00526183"/>
    <w:rsid w:val="005768ED"/>
    <w:rsid w:val="00590025"/>
    <w:rsid w:val="005A5465"/>
    <w:rsid w:val="005B1F86"/>
    <w:rsid w:val="005E1358"/>
    <w:rsid w:val="005E45D9"/>
    <w:rsid w:val="006305EA"/>
    <w:rsid w:val="00644053"/>
    <w:rsid w:val="006756A5"/>
    <w:rsid w:val="006849FA"/>
    <w:rsid w:val="0069348E"/>
    <w:rsid w:val="006B7746"/>
    <w:rsid w:val="006F7628"/>
    <w:rsid w:val="0071101E"/>
    <w:rsid w:val="007200BB"/>
    <w:rsid w:val="007311F8"/>
    <w:rsid w:val="007428A8"/>
    <w:rsid w:val="0074382F"/>
    <w:rsid w:val="00774385"/>
    <w:rsid w:val="007A2E2C"/>
    <w:rsid w:val="007A4399"/>
    <w:rsid w:val="007C6CDB"/>
    <w:rsid w:val="007D3415"/>
    <w:rsid w:val="007E4795"/>
    <w:rsid w:val="007F264E"/>
    <w:rsid w:val="007F5E5D"/>
    <w:rsid w:val="008011E2"/>
    <w:rsid w:val="00804578"/>
    <w:rsid w:val="008219C3"/>
    <w:rsid w:val="0082466C"/>
    <w:rsid w:val="00835894"/>
    <w:rsid w:val="00835B1F"/>
    <w:rsid w:val="0083658F"/>
    <w:rsid w:val="00842DB3"/>
    <w:rsid w:val="008736D4"/>
    <w:rsid w:val="008A192A"/>
    <w:rsid w:val="009012DF"/>
    <w:rsid w:val="009279A5"/>
    <w:rsid w:val="009363DB"/>
    <w:rsid w:val="009950DA"/>
    <w:rsid w:val="00997105"/>
    <w:rsid w:val="009E450C"/>
    <w:rsid w:val="00A0712F"/>
    <w:rsid w:val="00A57C2C"/>
    <w:rsid w:val="00A6275F"/>
    <w:rsid w:val="00A87B6D"/>
    <w:rsid w:val="00AC06B6"/>
    <w:rsid w:val="00AC7ED5"/>
    <w:rsid w:val="00AF47BA"/>
    <w:rsid w:val="00B07501"/>
    <w:rsid w:val="00B12091"/>
    <w:rsid w:val="00B15C7D"/>
    <w:rsid w:val="00B2335C"/>
    <w:rsid w:val="00B23CE9"/>
    <w:rsid w:val="00B36F91"/>
    <w:rsid w:val="00B54944"/>
    <w:rsid w:val="00B8068C"/>
    <w:rsid w:val="00BC70FB"/>
    <w:rsid w:val="00C2396F"/>
    <w:rsid w:val="00C252A6"/>
    <w:rsid w:val="00C648A6"/>
    <w:rsid w:val="00CA7BB7"/>
    <w:rsid w:val="00CC5A96"/>
    <w:rsid w:val="00CD65E9"/>
    <w:rsid w:val="00CE2AF0"/>
    <w:rsid w:val="00CE3135"/>
    <w:rsid w:val="00CF29CB"/>
    <w:rsid w:val="00D07E2F"/>
    <w:rsid w:val="00D12321"/>
    <w:rsid w:val="00D1377D"/>
    <w:rsid w:val="00D16490"/>
    <w:rsid w:val="00D44953"/>
    <w:rsid w:val="00D5062D"/>
    <w:rsid w:val="00DA2374"/>
    <w:rsid w:val="00DC3D72"/>
    <w:rsid w:val="00DD619F"/>
    <w:rsid w:val="00DE4EEB"/>
    <w:rsid w:val="00DF63AE"/>
    <w:rsid w:val="00E307BC"/>
    <w:rsid w:val="00E37A7D"/>
    <w:rsid w:val="00E7375E"/>
    <w:rsid w:val="00EA0537"/>
    <w:rsid w:val="00EA13C6"/>
    <w:rsid w:val="00ED3B47"/>
    <w:rsid w:val="00ED58C5"/>
    <w:rsid w:val="00EF374E"/>
    <w:rsid w:val="00F03E0E"/>
    <w:rsid w:val="00F317B4"/>
    <w:rsid w:val="00F4152A"/>
    <w:rsid w:val="00F678DF"/>
    <w:rsid w:val="00F75661"/>
    <w:rsid w:val="00F8171F"/>
    <w:rsid w:val="00F9299C"/>
    <w:rsid w:val="00FA793F"/>
    <w:rsid w:val="154C06BA"/>
    <w:rsid w:val="1BBCD33E"/>
    <w:rsid w:val="7D3D9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77D7"/>
  <w15:chartTrackingRefBased/>
  <w15:docId w15:val="{D0FEBEE7-D014-4624-8CDA-41652352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068C"/>
    <w:rPr>
      <w:color w:val="0563C1"/>
      <w:u w:val="single"/>
    </w:rPr>
  </w:style>
  <w:style w:type="paragraph" w:styleId="ListParagraph">
    <w:name w:val="List Paragraph"/>
    <w:aliases w:val="NL"/>
    <w:basedOn w:val="Normal"/>
    <w:uiPriority w:val="34"/>
    <w:qFormat/>
    <w:rsid w:val="00DF63AE"/>
    <w:pPr>
      <w:pBdr>
        <w:top w:val="nil"/>
        <w:left w:val="nil"/>
        <w:bottom w:val="nil"/>
        <w:right w:val="nil"/>
        <w:between w:val="nil"/>
      </w:pBdr>
      <w:spacing w:after="200" w:line="276" w:lineRule="auto"/>
      <w:ind w:left="720"/>
      <w:contextualSpacing/>
    </w:pPr>
    <w:rPr>
      <w:rFonts w:cs="Calibri"/>
      <w:color w:val="000000"/>
    </w:rPr>
  </w:style>
  <w:style w:type="paragraph" w:styleId="BalloonText">
    <w:name w:val="Balloon Text"/>
    <w:basedOn w:val="Normal"/>
    <w:link w:val="BalloonTextChar"/>
    <w:uiPriority w:val="99"/>
    <w:semiHidden/>
    <w:unhideWhenUsed/>
    <w:rsid w:val="00C648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48A6"/>
    <w:rPr>
      <w:rFonts w:ascii="Segoe UI" w:hAnsi="Segoe UI" w:cs="Segoe UI"/>
      <w:sz w:val="18"/>
      <w:szCs w:val="18"/>
    </w:rPr>
  </w:style>
  <w:style w:type="character" w:styleId="Strong">
    <w:name w:val="Strong"/>
    <w:uiPriority w:val="22"/>
    <w:qFormat/>
    <w:rsid w:val="00112D29"/>
    <w:rPr>
      <w:b/>
      <w:bCs/>
    </w:rPr>
  </w:style>
  <w:style w:type="character" w:styleId="UnresolvedMention">
    <w:name w:val="Unresolved Mention"/>
    <w:uiPriority w:val="99"/>
    <w:semiHidden/>
    <w:unhideWhenUsed/>
    <w:rsid w:val="00112D29"/>
    <w:rPr>
      <w:color w:val="605E5C"/>
      <w:shd w:val="clear" w:color="auto" w:fill="E1DFDD"/>
    </w:rPr>
  </w:style>
  <w:style w:type="character" w:styleId="FollowedHyperlink">
    <w:name w:val="FollowedHyperlink"/>
    <w:uiPriority w:val="99"/>
    <w:semiHidden/>
    <w:unhideWhenUsed/>
    <w:rsid w:val="00112D29"/>
    <w:rPr>
      <w:color w:val="954F72"/>
      <w:u w:val="single"/>
    </w:rPr>
  </w:style>
  <w:style w:type="paragraph" w:styleId="NormalWeb">
    <w:name w:val="Normal (Web)"/>
    <w:basedOn w:val="Normal"/>
    <w:uiPriority w:val="99"/>
    <w:semiHidden/>
    <w:unhideWhenUsed/>
    <w:rsid w:val="00E37A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A79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FA79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2949">
      <w:bodyDiv w:val="1"/>
      <w:marLeft w:val="0"/>
      <w:marRight w:val="0"/>
      <w:marTop w:val="0"/>
      <w:marBottom w:val="0"/>
      <w:divBdr>
        <w:top w:val="none" w:sz="0" w:space="0" w:color="auto"/>
        <w:left w:val="none" w:sz="0" w:space="0" w:color="auto"/>
        <w:bottom w:val="none" w:sz="0" w:space="0" w:color="auto"/>
        <w:right w:val="none" w:sz="0" w:space="0" w:color="auto"/>
      </w:divBdr>
    </w:div>
    <w:div w:id="15486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rooks@njaaw.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jaaw.org/" TargetMode="External"/><Relationship Id="rId5" Type="http://schemas.openxmlformats.org/officeDocument/2006/relationships/webSettings" Target="webSettings.xml"/><Relationship Id="rId10" Type="http://schemas.openxmlformats.org/officeDocument/2006/relationships/hyperlink" Target="https://www.youtube.com/c/njadvocatesforagingwell" TargetMode="External"/><Relationship Id="rId4" Type="http://schemas.openxmlformats.org/officeDocument/2006/relationships/settings" Target="settings.xml"/><Relationship Id="rId9" Type="http://schemas.openxmlformats.org/officeDocument/2006/relationships/hyperlink" Target="https://www.nja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Press%20Releases\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DD26-AA25-47A7-880F-707CB209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TEMPLATE</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dc:creator>
  <cp:keywords/>
  <dc:description/>
  <cp:lastModifiedBy>Cathy Rowe, DrPH</cp:lastModifiedBy>
  <cp:revision>2</cp:revision>
  <cp:lastPrinted>2021-05-04T22:16:00Z</cp:lastPrinted>
  <dcterms:created xsi:type="dcterms:W3CDTF">2021-09-13T16:58:00Z</dcterms:created>
  <dcterms:modified xsi:type="dcterms:W3CDTF">2021-09-13T16:58:00Z</dcterms:modified>
</cp:coreProperties>
</file>